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B23" w:rsidRPr="0041405A" w:rsidRDefault="0048249A">
      <w:pPr>
        <w:pStyle w:val="Titolo"/>
        <w:pageBreakBefore/>
        <w:rPr>
          <w:rFonts w:ascii="Titillium" w:hAnsi="Titillium"/>
          <w:sz w:val="20"/>
          <w:szCs w:val="20"/>
        </w:rPr>
      </w:pPr>
      <w:r w:rsidRPr="0041405A">
        <w:rPr>
          <w:rFonts w:ascii="Titillium" w:hAnsi="Titillium"/>
          <w:sz w:val="20"/>
          <w:szCs w:val="20"/>
        </w:rPr>
        <w:t xml:space="preserve">Scheda di sintesi sulla rilevazione degli OIV o </w:t>
      </w:r>
      <w:r w:rsidR="009A5646" w:rsidRPr="0041405A">
        <w:rPr>
          <w:rFonts w:ascii="Titillium" w:hAnsi="Titillium"/>
          <w:sz w:val="20"/>
          <w:szCs w:val="20"/>
        </w:rPr>
        <w:t>organismi con funzioni analoghe</w:t>
      </w:r>
    </w:p>
    <w:p w:rsidR="00C27B23" w:rsidRPr="0041405A" w:rsidRDefault="00C27B23">
      <w:pPr>
        <w:pStyle w:val="Paragrafoelenco"/>
        <w:ind w:left="0" w:firstLine="0"/>
        <w:rPr>
          <w:rFonts w:ascii="Titillium" w:hAnsi="Titillium"/>
          <w:sz w:val="20"/>
          <w:szCs w:val="20"/>
        </w:rPr>
      </w:pPr>
    </w:p>
    <w:p w:rsidR="00C27B23" w:rsidRPr="0041405A" w:rsidRDefault="0048249A">
      <w:pPr>
        <w:pStyle w:val="Paragrafoelenco"/>
        <w:spacing w:line="360" w:lineRule="auto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Data di svolgimento della rilevazione</w:t>
      </w:r>
    </w:p>
    <w:p w:rsidR="00C27B23" w:rsidRPr="0041405A" w:rsidRDefault="00D971BD">
      <w:pPr>
        <w:pStyle w:val="Paragrafoelenco"/>
        <w:spacing w:line="276" w:lineRule="auto"/>
        <w:ind w:left="0" w:firstLine="0"/>
        <w:rPr>
          <w:rFonts w:ascii="Titillium" w:hAnsi="Titillium"/>
          <w:sz w:val="20"/>
          <w:szCs w:val="20"/>
          <w:u w:val="single"/>
        </w:rPr>
      </w:pPr>
      <w:r>
        <w:rPr>
          <w:rFonts w:ascii="Titillium" w:hAnsi="Titillium"/>
          <w:sz w:val="20"/>
          <w:szCs w:val="20"/>
        </w:rPr>
        <w:t>29</w:t>
      </w:r>
      <w:r w:rsidR="007E4C18">
        <w:rPr>
          <w:rFonts w:ascii="Titillium" w:hAnsi="Titillium"/>
          <w:sz w:val="20"/>
          <w:szCs w:val="20"/>
        </w:rPr>
        <w:t xml:space="preserve"> giugno 2021</w:t>
      </w:r>
    </w:p>
    <w:p w:rsidR="00C27B23" w:rsidRPr="00486A4B" w:rsidRDefault="00C27B23" w:rsidP="00486A4B">
      <w:pPr>
        <w:spacing w:after="0" w:line="276" w:lineRule="auto"/>
        <w:rPr>
          <w:rFonts w:ascii="Titillium" w:hAnsi="Titillium"/>
          <w:sz w:val="20"/>
          <w:szCs w:val="20"/>
        </w:rPr>
      </w:pPr>
    </w:p>
    <w:p w:rsidR="00C27B23" w:rsidRPr="0041405A" w:rsidRDefault="0048249A">
      <w:pPr>
        <w:pStyle w:val="Paragrafoelenco"/>
        <w:spacing w:line="360" w:lineRule="auto"/>
        <w:ind w:left="0" w:firstLine="0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 xml:space="preserve">Procedure e modalità seguite per la rilevazione </w:t>
      </w:r>
    </w:p>
    <w:p w:rsidR="007E4C18" w:rsidRDefault="007E4C18" w:rsidP="007A107C">
      <w:pPr>
        <w:pStyle w:val="Paragrafoelenco"/>
        <w:spacing w:after="0" w:line="360" w:lineRule="auto"/>
        <w:ind w:left="0" w:firstLine="0"/>
        <w:rPr>
          <w:rFonts w:ascii="Titillium" w:hAnsi="Titillium"/>
          <w:sz w:val="20"/>
          <w:szCs w:val="20"/>
        </w:rPr>
      </w:pPr>
      <w:r>
        <w:rPr>
          <w:rFonts w:ascii="Titillium" w:hAnsi="Titillium"/>
          <w:sz w:val="20"/>
          <w:szCs w:val="20"/>
        </w:rPr>
        <w:t>La rilevazione è stata eseguita:</w:t>
      </w:r>
    </w:p>
    <w:p w:rsidR="007E4C18" w:rsidRDefault="007E4C18" w:rsidP="007E4C18">
      <w:pPr>
        <w:pStyle w:val="Paragrafoelenco"/>
        <w:numPr>
          <w:ilvl w:val="0"/>
          <w:numId w:val="5"/>
        </w:numPr>
        <w:spacing w:after="0" w:line="360" w:lineRule="auto"/>
        <w:rPr>
          <w:rFonts w:ascii="Titillium" w:hAnsi="Titillium"/>
          <w:sz w:val="20"/>
          <w:szCs w:val="20"/>
        </w:rPr>
      </w:pPr>
      <w:r>
        <w:rPr>
          <w:rFonts w:ascii="Titillium" w:hAnsi="Titillium"/>
          <w:sz w:val="20"/>
          <w:szCs w:val="20"/>
        </w:rPr>
        <w:t>Verificando l’attività svolta dal Responsabile della prevenzione della corruzione e della trasparenza per riscontrare l’adempimento degli obblighi di pubblicazione;</w:t>
      </w:r>
    </w:p>
    <w:p w:rsidR="007E4C18" w:rsidRDefault="007E4C18" w:rsidP="007E4C18">
      <w:pPr>
        <w:pStyle w:val="Paragrafoelenco"/>
        <w:numPr>
          <w:ilvl w:val="0"/>
          <w:numId w:val="5"/>
        </w:numPr>
        <w:spacing w:after="0" w:line="360" w:lineRule="auto"/>
        <w:rPr>
          <w:rFonts w:ascii="Titillium" w:hAnsi="Titillium"/>
          <w:sz w:val="20"/>
          <w:szCs w:val="20"/>
        </w:rPr>
      </w:pPr>
      <w:r>
        <w:rPr>
          <w:rFonts w:ascii="Titillium" w:hAnsi="Titillium"/>
          <w:sz w:val="20"/>
          <w:szCs w:val="20"/>
        </w:rPr>
        <w:t>Esame della documentazione e delle banche dati relativi ai dati oggetto di attestazione;</w:t>
      </w:r>
    </w:p>
    <w:p w:rsidR="007E4C18" w:rsidRDefault="007E4C18" w:rsidP="007E4C18">
      <w:pPr>
        <w:pStyle w:val="Paragrafoelenco"/>
        <w:numPr>
          <w:ilvl w:val="0"/>
          <w:numId w:val="5"/>
        </w:numPr>
        <w:spacing w:after="0" w:line="360" w:lineRule="auto"/>
        <w:rPr>
          <w:rFonts w:ascii="Titillium" w:hAnsi="Titillium"/>
          <w:sz w:val="20"/>
          <w:szCs w:val="20"/>
        </w:rPr>
      </w:pPr>
      <w:r>
        <w:rPr>
          <w:rFonts w:ascii="Titillium" w:hAnsi="Titillium"/>
          <w:sz w:val="20"/>
          <w:szCs w:val="20"/>
        </w:rPr>
        <w:t>Colloqui con i responsabili della trasmissione dei dati;</w:t>
      </w:r>
    </w:p>
    <w:p w:rsidR="007E4C18" w:rsidRDefault="007E4C18" w:rsidP="007E4C18">
      <w:pPr>
        <w:pStyle w:val="Paragrafoelenco"/>
        <w:numPr>
          <w:ilvl w:val="0"/>
          <w:numId w:val="5"/>
        </w:numPr>
        <w:spacing w:after="0" w:line="360" w:lineRule="auto"/>
        <w:rPr>
          <w:rFonts w:ascii="Titillium" w:hAnsi="Titillium"/>
          <w:sz w:val="20"/>
          <w:szCs w:val="20"/>
        </w:rPr>
      </w:pPr>
      <w:r>
        <w:rPr>
          <w:rFonts w:ascii="Titillium" w:hAnsi="Titillium"/>
          <w:sz w:val="20"/>
          <w:szCs w:val="20"/>
        </w:rPr>
        <w:t>Verifica sul sito istituzionale, anche attraverso l’utilizzo di supporti informatici.</w:t>
      </w:r>
    </w:p>
    <w:p w:rsidR="00C27B23" w:rsidRPr="0041405A" w:rsidRDefault="00C27B23">
      <w:pPr>
        <w:spacing w:line="360" w:lineRule="auto"/>
        <w:rPr>
          <w:rFonts w:ascii="Titillium" w:hAnsi="Titillium"/>
          <w:sz w:val="20"/>
          <w:szCs w:val="20"/>
          <w:u w:val="single"/>
        </w:rPr>
      </w:pPr>
    </w:p>
    <w:p w:rsidR="00C27B23" w:rsidRPr="0041405A" w:rsidRDefault="0048249A">
      <w:pPr>
        <w:spacing w:line="360" w:lineRule="auto"/>
        <w:rPr>
          <w:rFonts w:ascii="Titillium" w:hAnsi="Titillium"/>
          <w:b/>
          <w:i/>
          <w:sz w:val="20"/>
          <w:szCs w:val="20"/>
        </w:rPr>
      </w:pPr>
      <w:r w:rsidRPr="0041405A">
        <w:rPr>
          <w:rFonts w:ascii="Titillium" w:hAnsi="Titillium"/>
          <w:b/>
          <w:i/>
          <w:sz w:val="20"/>
          <w:szCs w:val="20"/>
        </w:rPr>
        <w:t>Aspetti critici riscontrati nel corso della rilevazione</w:t>
      </w:r>
    </w:p>
    <w:p w:rsidR="00C27B23" w:rsidRPr="00F25CD7" w:rsidRDefault="00D971BD" w:rsidP="009B29C5">
      <w:pPr>
        <w:pStyle w:val="Paragrafoelenco"/>
        <w:numPr>
          <w:ilvl w:val="0"/>
          <w:numId w:val="6"/>
        </w:numPr>
        <w:spacing w:line="360" w:lineRule="auto"/>
        <w:rPr>
          <w:rFonts w:ascii="Titillium" w:hAnsi="Titillium"/>
          <w:b/>
          <w:sz w:val="20"/>
          <w:szCs w:val="20"/>
          <w:u w:val="single"/>
        </w:rPr>
      </w:pPr>
      <w:r w:rsidRPr="00D971BD">
        <w:rPr>
          <w:rFonts w:ascii="Titillium" w:hAnsi="Titillium"/>
          <w:sz w:val="20"/>
          <w:szCs w:val="20"/>
        </w:rPr>
        <w:t xml:space="preserve">Assenza di pubblicazione alla data del 31 maggio 2021 delle informazioni alla </w:t>
      </w:r>
      <w:proofErr w:type="spellStart"/>
      <w:r w:rsidRPr="00D971BD">
        <w:rPr>
          <w:rFonts w:ascii="Titillium" w:hAnsi="Titillium"/>
          <w:sz w:val="20"/>
          <w:szCs w:val="20"/>
        </w:rPr>
        <w:t>Macrofamiglia</w:t>
      </w:r>
      <w:proofErr w:type="spellEnd"/>
      <w:r w:rsidRPr="00D971BD">
        <w:rPr>
          <w:rFonts w:ascii="Titillium" w:hAnsi="Titillium"/>
          <w:sz w:val="20"/>
          <w:szCs w:val="20"/>
        </w:rPr>
        <w:t xml:space="preserve"> “Bandi di gara e contratti” richieste alla Tipologia di dati di cui “Informazioni sulle singole procedure in formato tabellare” ed “Atti delle </w:t>
      </w:r>
      <w:proofErr w:type="spellStart"/>
      <w:r w:rsidRPr="00D971BD">
        <w:rPr>
          <w:rFonts w:ascii="Titillium" w:hAnsi="Titillium"/>
          <w:sz w:val="20"/>
          <w:szCs w:val="20"/>
        </w:rPr>
        <w:t>delle</w:t>
      </w:r>
      <w:proofErr w:type="spellEnd"/>
      <w:r w:rsidRPr="00D971BD">
        <w:rPr>
          <w:rFonts w:ascii="Titillium" w:hAnsi="Titillium"/>
          <w:sz w:val="20"/>
          <w:szCs w:val="20"/>
        </w:rPr>
        <w:t xml:space="preserve"> amministrazioni aggiudicatrici e degli enti aggiudicatori distintamente per ogni procedura”. Le suddette informazioni risultano pubblicate alle date del 28 e 29 giugno 2021.</w:t>
      </w:r>
    </w:p>
    <w:p w:rsidR="00F25CD7" w:rsidRPr="00D971BD" w:rsidRDefault="00F25CD7" w:rsidP="009B29C5">
      <w:pPr>
        <w:pStyle w:val="Paragrafoelenco"/>
        <w:numPr>
          <w:ilvl w:val="0"/>
          <w:numId w:val="6"/>
        </w:numPr>
        <w:spacing w:line="360" w:lineRule="auto"/>
        <w:rPr>
          <w:rFonts w:ascii="Titillium" w:hAnsi="Titillium"/>
          <w:b/>
          <w:sz w:val="20"/>
          <w:szCs w:val="20"/>
          <w:u w:val="single"/>
        </w:rPr>
      </w:pPr>
      <w:r>
        <w:rPr>
          <w:rFonts w:ascii="Titillium" w:hAnsi="Titillium"/>
          <w:sz w:val="20"/>
          <w:szCs w:val="20"/>
        </w:rPr>
        <w:t xml:space="preserve">Assenza di pubblicazione delle informazioni alla </w:t>
      </w:r>
      <w:proofErr w:type="spellStart"/>
      <w:r>
        <w:rPr>
          <w:rFonts w:ascii="Titillium" w:hAnsi="Titillium"/>
          <w:sz w:val="20"/>
          <w:szCs w:val="20"/>
        </w:rPr>
        <w:t>Macrofamiglia</w:t>
      </w:r>
      <w:proofErr w:type="spellEnd"/>
      <w:r>
        <w:rPr>
          <w:rFonts w:ascii="Titillium" w:hAnsi="Titillium"/>
          <w:sz w:val="20"/>
          <w:szCs w:val="20"/>
        </w:rPr>
        <w:t xml:space="preserve"> “Performance” richiesta alla Tipologia di dati “Dati relativi ai premi”.</w:t>
      </w:r>
      <w:bookmarkStart w:id="0" w:name="_GoBack"/>
      <w:bookmarkEnd w:id="0"/>
    </w:p>
    <w:p w:rsidR="00D971BD" w:rsidRDefault="00D971BD" w:rsidP="00D971BD">
      <w:pPr>
        <w:spacing w:line="360" w:lineRule="auto"/>
        <w:rPr>
          <w:rFonts w:ascii="Titillium" w:hAnsi="Titillium"/>
          <w:b/>
          <w:sz w:val="20"/>
          <w:szCs w:val="20"/>
        </w:rPr>
      </w:pPr>
      <w:r>
        <w:rPr>
          <w:rFonts w:ascii="Titillium" w:hAnsi="Titillium"/>
          <w:b/>
          <w:sz w:val="20"/>
          <w:szCs w:val="20"/>
        </w:rPr>
        <w:t>Data 29.06.2021</w:t>
      </w:r>
    </w:p>
    <w:p w:rsidR="00D971BD" w:rsidRDefault="00D971BD" w:rsidP="00D971BD">
      <w:pPr>
        <w:spacing w:line="360" w:lineRule="auto"/>
        <w:jc w:val="right"/>
        <w:rPr>
          <w:rFonts w:ascii="Titillium" w:hAnsi="Titillium"/>
          <w:b/>
          <w:sz w:val="20"/>
          <w:szCs w:val="20"/>
        </w:rPr>
      </w:pPr>
      <w:r>
        <w:rPr>
          <w:rFonts w:ascii="Titillium" w:hAnsi="Titillium"/>
          <w:b/>
          <w:sz w:val="20"/>
          <w:szCs w:val="20"/>
        </w:rPr>
        <w:t>FIRMA</w:t>
      </w:r>
    </w:p>
    <w:p w:rsidR="00D971BD" w:rsidRPr="00D971BD" w:rsidRDefault="00D971BD" w:rsidP="00D971BD">
      <w:pPr>
        <w:spacing w:line="360" w:lineRule="auto"/>
        <w:jc w:val="right"/>
        <w:rPr>
          <w:rFonts w:ascii="Titillium" w:hAnsi="Titillium"/>
          <w:sz w:val="20"/>
          <w:szCs w:val="20"/>
        </w:rPr>
      </w:pPr>
      <w:r>
        <w:rPr>
          <w:rFonts w:ascii="Titillium" w:hAnsi="Titillium"/>
          <w:sz w:val="20"/>
          <w:szCs w:val="20"/>
        </w:rPr>
        <w:t>Dott. Giuseppe Orsino</w:t>
      </w:r>
    </w:p>
    <w:sectPr w:rsidR="00D971BD" w:rsidRPr="00D971BD">
      <w:headerReference w:type="default" r:id="rId7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8C7" w:rsidRDefault="000A28C7">
      <w:pPr>
        <w:spacing w:after="0" w:line="240" w:lineRule="auto"/>
      </w:pPr>
      <w:r>
        <w:separator/>
      </w:r>
    </w:p>
  </w:endnote>
  <w:endnote w:type="continuationSeparator" w:id="0">
    <w:p w:rsidR="000A28C7" w:rsidRDefault="000A2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8C7" w:rsidRDefault="000A28C7">
      <w:pPr>
        <w:spacing w:after="0" w:line="240" w:lineRule="auto"/>
      </w:pPr>
      <w:r>
        <w:separator/>
      </w:r>
    </w:p>
  </w:footnote>
  <w:footnote w:type="continuationSeparator" w:id="0">
    <w:p w:rsidR="000A28C7" w:rsidRDefault="000A2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06C" w:rsidRDefault="0085206C" w:rsidP="006E496C">
    <w:pPr>
      <w:pStyle w:val="Intestazione"/>
      <w:jc w:val="right"/>
      <w:rPr>
        <w:rFonts w:ascii="Garamond" w:hAnsi="Garamond"/>
        <w:b/>
      </w:rPr>
    </w:pP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687E4C92" wp14:editId="504C6424">
          <wp:simplePos x="0" y="0"/>
          <wp:positionH relativeFrom="margin">
            <wp:posOffset>-271780</wp:posOffset>
          </wp:positionH>
          <wp:positionV relativeFrom="topMargin">
            <wp:posOffset>453390</wp:posOffset>
          </wp:positionV>
          <wp:extent cx="2879725" cy="341630"/>
          <wp:effectExtent l="0" t="0" r="0" b="127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206C" w:rsidRDefault="0085206C" w:rsidP="006E496C">
    <w:pPr>
      <w:pStyle w:val="Intestazione"/>
      <w:jc w:val="right"/>
      <w:rPr>
        <w:rFonts w:ascii="Garamond" w:hAnsi="Garamond"/>
        <w:b/>
      </w:rPr>
    </w:pPr>
  </w:p>
  <w:p w:rsidR="0085206C" w:rsidRDefault="0085206C" w:rsidP="0085206C">
    <w:pPr>
      <w:pStyle w:val="Intestazione"/>
      <w:tabs>
        <w:tab w:val="left" w:pos="3878"/>
      </w:tabs>
      <w:rPr>
        <w:rFonts w:ascii="Garamond" w:hAnsi="Garamond"/>
        <w:b/>
      </w:rPr>
    </w:pPr>
    <w:r>
      <w:rPr>
        <w:rFonts w:ascii="Garamond" w:hAnsi="Garamond"/>
        <w:b/>
      </w:rPr>
      <w:tab/>
    </w:r>
    <w:r>
      <w:rPr>
        <w:rFonts w:ascii="Garamond" w:hAnsi="Garamond"/>
        <w:b/>
      </w:rPr>
      <w:tab/>
    </w:r>
  </w:p>
  <w:p w:rsidR="00C27B23" w:rsidRPr="000F2C0E" w:rsidRDefault="0048249A" w:rsidP="006E496C">
    <w:pPr>
      <w:pStyle w:val="Intestazione"/>
      <w:jc w:val="right"/>
      <w:rPr>
        <w:rFonts w:ascii="Titillium" w:hAnsi="Titillium" w:cs="Times New Roman"/>
        <w:b/>
        <w:sz w:val="20"/>
        <w:szCs w:val="20"/>
      </w:rPr>
    </w:pPr>
    <w:r w:rsidRPr="000F2C0E">
      <w:rPr>
        <w:rFonts w:ascii="Titillium" w:hAnsi="Titillium"/>
        <w:b/>
        <w:sz w:val="20"/>
        <w:szCs w:val="20"/>
      </w:rPr>
      <w:t xml:space="preserve">Allegato 3 alla </w:t>
    </w:r>
    <w:r w:rsidRPr="000F2C0E">
      <w:rPr>
        <w:rFonts w:ascii="Titillium" w:hAnsi="Titillium" w:cs="Times New Roman"/>
        <w:b/>
        <w:sz w:val="20"/>
        <w:szCs w:val="20"/>
      </w:rPr>
      <w:t>delibera</w:t>
    </w:r>
    <w:r w:rsidR="004833D5" w:rsidRPr="000F2C0E">
      <w:rPr>
        <w:rFonts w:ascii="Titillium" w:hAnsi="Titillium" w:cs="Times New Roman"/>
        <w:b/>
        <w:sz w:val="20"/>
        <w:szCs w:val="20"/>
      </w:rPr>
      <w:t xml:space="preserve"> ANAC</w:t>
    </w:r>
    <w:r w:rsidRPr="000F2C0E">
      <w:rPr>
        <w:rFonts w:ascii="Titillium" w:hAnsi="Titillium" w:cs="Times New Roman"/>
        <w:b/>
        <w:sz w:val="20"/>
        <w:szCs w:val="20"/>
      </w:rPr>
      <w:t xml:space="preserve"> n. </w:t>
    </w:r>
    <w:r w:rsidR="0041405A" w:rsidRPr="000F2C0E">
      <w:rPr>
        <w:rFonts w:ascii="Titillium" w:hAnsi="Titillium" w:cs="Times New Roman"/>
        <w:b/>
        <w:sz w:val="20"/>
        <w:szCs w:val="20"/>
      </w:rPr>
      <w:t>294</w:t>
    </w:r>
    <w:r w:rsidRPr="000F2C0E">
      <w:rPr>
        <w:rFonts w:ascii="Titillium" w:hAnsi="Titillium" w:cs="Times New Roman"/>
        <w:b/>
        <w:sz w:val="20"/>
        <w:szCs w:val="20"/>
      </w:rPr>
      <w:t>/</w:t>
    </w:r>
    <w:r w:rsidR="009C05D1" w:rsidRPr="000F2C0E">
      <w:rPr>
        <w:rFonts w:ascii="Titillium" w:hAnsi="Titillium" w:cs="Times New Roman"/>
        <w:b/>
        <w:sz w:val="20"/>
        <w:szCs w:val="20"/>
      </w:rPr>
      <w:t>202</w:t>
    </w:r>
    <w:r w:rsidR="00040F20" w:rsidRPr="000F2C0E">
      <w:rPr>
        <w:rFonts w:ascii="Titillium" w:hAnsi="Titillium" w:cs="Times New Roman"/>
        <w:b/>
        <w:sz w:val="20"/>
        <w:szCs w:val="20"/>
      </w:rPr>
      <w:t>1</w:t>
    </w:r>
  </w:p>
  <w:p w:rsidR="0085206C" w:rsidRDefault="0085206C" w:rsidP="006E496C">
    <w:pPr>
      <w:pStyle w:val="Intestazione"/>
      <w:jc w:val="right"/>
      <w:rPr>
        <w:rFonts w:ascii="Garamond" w:hAnsi="Garamond" w:cs="Times New Roman"/>
        <w:b/>
      </w:rPr>
    </w:pPr>
  </w:p>
  <w:p w:rsidR="0085206C" w:rsidRPr="006E496C" w:rsidRDefault="0085206C" w:rsidP="006E496C">
    <w:pPr>
      <w:pStyle w:val="Intestazione"/>
      <w:jc w:val="right"/>
      <w:rPr>
        <w:rFonts w:ascii="Garamond" w:hAnsi="Garamond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96CD9"/>
    <w:multiLevelType w:val="hybridMultilevel"/>
    <w:tmpl w:val="1F50BAE8"/>
    <w:lvl w:ilvl="0" w:tplc="5EB4A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2" w15:restartNumberingAfterBreak="0">
    <w:nsid w:val="35280DCF"/>
    <w:multiLevelType w:val="hybridMultilevel"/>
    <w:tmpl w:val="BDE475A2"/>
    <w:lvl w:ilvl="0" w:tplc="5EB4A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23"/>
    <w:rsid w:val="00040F20"/>
    <w:rsid w:val="000A28C7"/>
    <w:rsid w:val="000F2C0E"/>
    <w:rsid w:val="0016468A"/>
    <w:rsid w:val="0024134D"/>
    <w:rsid w:val="00244795"/>
    <w:rsid w:val="002C572E"/>
    <w:rsid w:val="003E1CF5"/>
    <w:rsid w:val="0041405A"/>
    <w:rsid w:val="00416AD0"/>
    <w:rsid w:val="0048249A"/>
    <w:rsid w:val="004833D5"/>
    <w:rsid w:val="00486A4B"/>
    <w:rsid w:val="004F18CD"/>
    <w:rsid w:val="0060106A"/>
    <w:rsid w:val="006E496C"/>
    <w:rsid w:val="007052EA"/>
    <w:rsid w:val="00713BFD"/>
    <w:rsid w:val="007A107C"/>
    <w:rsid w:val="007E4C18"/>
    <w:rsid w:val="00837860"/>
    <w:rsid w:val="0085206C"/>
    <w:rsid w:val="00861FE1"/>
    <w:rsid w:val="008A0378"/>
    <w:rsid w:val="00955140"/>
    <w:rsid w:val="009728A7"/>
    <w:rsid w:val="009A5646"/>
    <w:rsid w:val="009C05D1"/>
    <w:rsid w:val="009C6FAC"/>
    <w:rsid w:val="00A52DF7"/>
    <w:rsid w:val="00AF790D"/>
    <w:rsid w:val="00BF4345"/>
    <w:rsid w:val="00C27B23"/>
    <w:rsid w:val="00C32BE7"/>
    <w:rsid w:val="00D27496"/>
    <w:rsid w:val="00D971BD"/>
    <w:rsid w:val="00E364E5"/>
    <w:rsid w:val="00E62454"/>
    <w:rsid w:val="00F25CD7"/>
    <w:rsid w:val="00FA24F3"/>
    <w:rsid w:val="00FC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92D47"/>
  <w15:docId w15:val="{7A33BA13-25D1-4E3B-8724-39E466BE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Pr>
      <w:rFonts w:ascii="Courier New" w:hAnsi="Courier New" w:cs="Courier New"/>
    </w:rPr>
  </w:style>
  <w:style w:type="character" w:customStyle="1" w:styleId="WWCharLFO13LVL3">
    <w:name w:val="WW_CharLFO13LVL3"/>
    <w:rPr>
      <w:rFonts w:ascii="Wingdings" w:hAnsi="Wingdings"/>
    </w:rPr>
  </w:style>
  <w:style w:type="character" w:customStyle="1" w:styleId="WWCharLFO13LVL4">
    <w:name w:val="WW_CharLFO13LVL4"/>
    <w:rPr>
      <w:rFonts w:ascii="Symbol" w:hAnsi="Symbol"/>
    </w:rPr>
  </w:style>
  <w:style w:type="character" w:customStyle="1" w:styleId="WWCharLFO13LVL5">
    <w:name w:val="WW_CharLFO13LVL5"/>
    <w:rPr>
      <w:rFonts w:ascii="Courier New" w:hAnsi="Courier New" w:cs="Courier New"/>
    </w:rPr>
  </w:style>
  <w:style w:type="character" w:customStyle="1" w:styleId="WWCharLFO13LVL6">
    <w:name w:val="WW_CharLFO13LVL6"/>
    <w:rPr>
      <w:rFonts w:ascii="Wingdings" w:hAnsi="Wingdings"/>
    </w:rPr>
  </w:style>
  <w:style w:type="character" w:customStyle="1" w:styleId="WWCharLFO13LVL7">
    <w:name w:val="WW_CharLFO13LVL7"/>
    <w:rPr>
      <w:rFonts w:ascii="Symbol" w:hAnsi="Symbol"/>
    </w:rPr>
  </w:style>
  <w:style w:type="character" w:customStyle="1" w:styleId="WWCharLFO13LVL8">
    <w:name w:val="WW_CharLFO13LVL8"/>
    <w:rPr>
      <w:rFonts w:ascii="Courier New" w:hAnsi="Courier New" w:cs="Courier New"/>
    </w:rPr>
  </w:style>
  <w:style w:type="character" w:customStyle="1" w:styleId="WWCharLFO13LVL9">
    <w:name w:val="WW_CharLFO13LVL9"/>
    <w:rPr>
      <w:rFonts w:ascii="Wingdings" w:hAnsi="Wingdings"/>
    </w:rPr>
  </w:style>
  <w:style w:type="character" w:customStyle="1" w:styleId="WWCharLFO15LVL1">
    <w:name w:val="WW_CharLFO15LVL1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Pr>
      <w:rFonts w:ascii="Courier New" w:hAnsi="Courier New" w:cs="Courier New"/>
    </w:rPr>
  </w:style>
  <w:style w:type="character" w:customStyle="1" w:styleId="WWCharLFO15LVL3">
    <w:name w:val="WW_CharLFO15LVL3"/>
    <w:rPr>
      <w:rFonts w:ascii="Wingdings" w:hAnsi="Wingdings"/>
    </w:rPr>
  </w:style>
  <w:style w:type="character" w:customStyle="1" w:styleId="WWCharLFO15LVL4">
    <w:name w:val="WW_CharLFO15LVL4"/>
    <w:rPr>
      <w:rFonts w:ascii="Symbol" w:hAnsi="Symbol"/>
    </w:rPr>
  </w:style>
  <w:style w:type="character" w:customStyle="1" w:styleId="WWCharLFO15LVL5">
    <w:name w:val="WW_CharLFO15LVL5"/>
    <w:rPr>
      <w:rFonts w:ascii="Courier New" w:hAnsi="Courier New" w:cs="Courier New"/>
    </w:rPr>
  </w:style>
  <w:style w:type="character" w:customStyle="1" w:styleId="WWCharLFO15LVL6">
    <w:name w:val="WW_CharLFO15LVL6"/>
    <w:rPr>
      <w:rFonts w:ascii="Wingdings" w:hAnsi="Wingdings"/>
    </w:rPr>
  </w:style>
  <w:style w:type="character" w:customStyle="1" w:styleId="WWCharLFO15LVL7">
    <w:name w:val="WW_CharLFO15LVL7"/>
    <w:rPr>
      <w:rFonts w:ascii="Symbol" w:hAnsi="Symbol"/>
    </w:rPr>
  </w:style>
  <w:style w:type="character" w:customStyle="1" w:styleId="WWCharLFO15LVL8">
    <w:name w:val="WW_CharLFO15LVL8"/>
    <w:rPr>
      <w:rFonts w:ascii="Courier New" w:hAnsi="Courier New" w:cs="Courier New"/>
    </w:rPr>
  </w:style>
  <w:style w:type="character" w:customStyle="1" w:styleId="WWCharLFO15LVL9">
    <w:name w:val="WW_CharLFO15LVL9"/>
    <w:rPr>
      <w:rFonts w:ascii="Wingdings" w:hAnsi="Wingdings"/>
    </w:rPr>
  </w:style>
  <w:style w:type="character" w:customStyle="1" w:styleId="Caratteredellanota">
    <w:name w:val="Carattere della not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pPr>
      <w:ind w:left="357" w:hanging="357"/>
    </w:pPr>
  </w:style>
  <w:style w:type="paragraph" w:styleId="Titolo">
    <w:name w:val="Title"/>
    <w:basedOn w:val="Normale"/>
    <w:next w:val="Normale"/>
    <w:autoRedefine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">
    <w:name w:val="Corpo del testo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Utente</cp:lastModifiedBy>
  <cp:revision>7</cp:revision>
  <cp:lastPrinted>2018-02-28T15:30:00Z</cp:lastPrinted>
  <dcterms:created xsi:type="dcterms:W3CDTF">2021-06-22T07:50:00Z</dcterms:created>
  <dcterms:modified xsi:type="dcterms:W3CDTF">2021-06-29T07:55:00Z</dcterms:modified>
</cp:coreProperties>
</file>